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hint="eastAsia" w:eastAsia="方正小标宋简体"/>
          <w:bCs/>
          <w:color w:val="0000FF"/>
          <w:sz w:val="24"/>
          <w:u w:val="single"/>
        </w:rPr>
        <w:t xml:space="preserve">SK251 </w:t>
      </w:r>
      <w:r>
        <w:rPr>
          <w:rFonts w:hint="eastAsia" w:ascii="方正小标宋简体" w:hAnsi="华文中宋" w:eastAsia="方正小标宋简体"/>
          <w:bCs/>
          <w:sz w:val="24"/>
        </w:rPr>
        <w:t>）</w:t>
      </w:r>
    </w:p>
    <w:p>
      <w:pPr>
        <w:spacing w:line="520" w:lineRule="exact"/>
        <w:ind w:firstLine="240" w:firstLineChars="100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pict>
          <v:line id="_x0000_s2050" o:spid="_x0000_s2050" o:spt="20" style="position:absolute;left:0pt;margin-left:63pt;margin-top:19.9pt;height:0pt;width:90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pict>
          <v:line id="_x0000_s2051" o:spid="_x0000_s2051" o:spt="20" style="position:absolute;left:0pt;margin-left:63pt;margin-top:19.9pt;height:0pt;width:90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pict>
          <v:line id="_x0000_s2052" o:spid="_x0000_s2052" o:spt="20" style="position:absolute;left:0pt;margin-left:63pt;margin-top:19.9pt;height:0pt;width:90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t>填表人：     陈金龙                      填表日期： 2018年12月4日</w:t>
      </w:r>
    </w:p>
    <w:tbl>
      <w:tblPr>
        <w:tblStyle w:val="5"/>
        <w:tblW w:w="9829" w:type="dxa"/>
        <w:jc w:val="center"/>
        <w:tblInd w:w="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宁波港航服务业发展的经验借鉴与突破重点研究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宁波市人民政府发展研究中心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2017年12至2018年6月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陈金龙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王琦峰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对策分析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赵娜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其中拨款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2万元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0万元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0.649万元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发表论文、专著：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专利等知识产权：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成果推广与应用：研究报告、决策建议稿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0.069万元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0.48万元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ind w:left="-288" w:leftChars="-103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研究报告+论文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2018年7月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宁波市人民政府发展研究中心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786"/>
    <w:rsid w:val="00166020"/>
    <w:rsid w:val="002E754E"/>
    <w:rsid w:val="004E6FF4"/>
    <w:rsid w:val="0066117F"/>
    <w:rsid w:val="00851C2D"/>
    <w:rsid w:val="00885BDA"/>
    <w:rsid w:val="008D4A61"/>
    <w:rsid w:val="009342B5"/>
    <w:rsid w:val="00BE6786"/>
    <w:rsid w:val="00FF5AA1"/>
    <w:rsid w:val="00FF6961"/>
    <w:rsid w:val="3CDB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</Words>
  <Characters>735</Characters>
  <Lines>6</Lines>
  <Paragraphs>1</Paragraphs>
  <TotalTime>1</TotalTime>
  <ScaleCrop>false</ScaleCrop>
  <LinksUpToDate>false</LinksUpToDate>
  <CharactersWithSpaces>862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2018-12-13T01:54:00Z</dcterms:created>
  <dc:creator>admin</dc:creator>
  <cp:lastModifiedBy>黄晓峰(烽火炎焱燚)</cp:lastModifiedBy>
  <dcterms:modified xsi:type="dcterms:W3CDTF">2018-12-28T02:13:09Z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