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80" w:firstLineChars="50"/>
        <w:jc w:val="center"/>
        <w:rPr>
          <w:rFonts w:hint="eastAsia" w:ascii="方正小标宋简体" w:hAnsi="华文中宋" w:eastAsia="方正小标宋简体"/>
          <w:bCs/>
          <w:sz w:val="24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  <w:r>
        <w:rPr>
          <w:rFonts w:hint="eastAsia" w:ascii="方正小标宋简体" w:hAnsi="华文中宋" w:eastAsia="方正小标宋简体"/>
          <w:bCs/>
          <w:sz w:val="24"/>
        </w:rPr>
        <w:t>（序号：</w:t>
      </w:r>
      <w:r>
        <w:rPr>
          <w:rFonts w:hint="eastAsia" w:eastAsia="方正小标宋简体"/>
          <w:bCs/>
          <w:color w:val="0000FF"/>
          <w:sz w:val="24"/>
          <w:u w:val="single"/>
        </w:rPr>
        <w:t>SK240</w:t>
      </w:r>
      <w:r>
        <w:rPr>
          <w:rFonts w:eastAsia="方正小标宋简体"/>
          <w:bCs/>
          <w:color w:val="0000FF"/>
          <w:sz w:val="24"/>
          <w:u w:val="single"/>
        </w:rPr>
        <w:t xml:space="preserve"> </w:t>
      </w:r>
      <w:r>
        <w:rPr>
          <w:rFonts w:hint="eastAsia" w:ascii="方正小标宋简体" w:hAnsi="华文中宋" w:eastAsia="方正小标宋简体"/>
          <w:bCs/>
          <w:sz w:val="24"/>
        </w:rPr>
        <w:t>）</w:t>
      </w:r>
    </w:p>
    <w:p>
      <w:pPr>
        <w:spacing w:line="520" w:lineRule="exact"/>
        <w:ind w:firstLine="240" w:firstLineChars="100"/>
        <w:rPr>
          <w:rFonts w:hint="eastAsia"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pict>
          <v:line id="_x0000_s2050" o:spid="_x0000_s2050" o:spt="20" style="position:absolute;left:0pt;margin-left:63pt;margin-top:19.9pt;height:0pt;width:90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华文中宋"/>
          <w:bCs/>
          <w:sz w:val="24"/>
        </w:rPr>
        <w:pict>
          <v:line id="_x0000_s2051" o:spid="_x0000_s2051" o:spt="20" style="position:absolute;left:0pt;margin-left:63pt;margin-top:19.9pt;height:0pt;width:90pt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华文中宋"/>
          <w:bCs/>
          <w:sz w:val="24"/>
        </w:rPr>
        <w:pict>
          <v:line id="_x0000_s2052" o:spid="_x0000_s2052" o:spt="20" style="position:absolute;left:0pt;margin-left:63pt;margin-top:19.9pt;height:0pt;width:90pt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华文中宋"/>
          <w:bCs/>
          <w:sz w:val="24"/>
        </w:rPr>
        <w:pict>
          <v:line id="_x0000_s2053" o:spid="_x0000_s2053" o:spt="20" style="position:absolute;left:0pt;margin-left:63pt;margin-top:19.9pt;height:0pt;width:90pt;z-index:2516633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华文中宋"/>
          <w:bCs/>
          <w:sz w:val="24"/>
        </w:rPr>
        <w:pict>
          <v:line id="_x0000_s2054" o:spid="_x0000_s2054" o:spt="20" style="position:absolute;left:0pt;margin-left:63pt;margin-top:19.9pt;height:0pt;width:90pt;z-index:25166438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华文中宋"/>
          <w:bCs/>
          <w:sz w:val="24"/>
        </w:rPr>
        <w:t>填表人：     陈金龙                      填表日期： 2018年12月4日</w:t>
      </w:r>
    </w:p>
    <w:tbl>
      <w:tblPr>
        <w:tblStyle w:val="5"/>
        <w:tblW w:w="9829" w:type="dxa"/>
        <w:jc w:val="center"/>
        <w:tblInd w:w="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488"/>
        <w:gridCol w:w="1044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浙江省公众参与“互联网+慈善”的影响因素及对策研究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浙江省民政厅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2018年6月至2019年3月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陈金龙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理论分析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胡林玉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对策分析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周志英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副教授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调研分析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毛佳晓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调研分析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0.5万元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其中拨款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（财政资助经费）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105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（学校配套或自筹）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（财政资助经费，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不包括配套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0.2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587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0.025万元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税费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0.0163万元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（财政资助经费，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不包括配套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0.5万元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0.0413万元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发表论文、专著：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专利等知识产权：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成果推广与应用：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（财政资助经费，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不包括配套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0.025万元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税费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0.0163万元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ind w:left="-288" w:leftChars="-103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237D"/>
    <w:rsid w:val="00166020"/>
    <w:rsid w:val="002E754E"/>
    <w:rsid w:val="004E6FF4"/>
    <w:rsid w:val="00776C48"/>
    <w:rsid w:val="00851C2D"/>
    <w:rsid w:val="00885BDA"/>
    <w:rsid w:val="008D4A61"/>
    <w:rsid w:val="009342B5"/>
    <w:rsid w:val="00D1237D"/>
    <w:rsid w:val="00FF5AA1"/>
    <w:rsid w:val="00FF6961"/>
    <w:rsid w:val="10456EAE"/>
    <w:rsid w:val="2090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128</Words>
  <Characters>732</Characters>
  <Lines>6</Lines>
  <Paragraphs>1</Paragraphs>
  <TotalTime>1</TotalTime>
  <ScaleCrop>false</ScaleCrop>
  <LinksUpToDate>false</LinksUpToDate>
  <CharactersWithSpaces>859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2018-12-13T01:49:00Z</dcterms:created>
  <dc:creator>admin</dc:creator>
  <cp:lastModifiedBy>黄晓峰(烽火炎焱燚)</cp:lastModifiedBy>
  <dcterms:modified xsi:type="dcterms:W3CDTF">2018-12-29T03:29:42Z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