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86102" w14:textId="77777777" w:rsidR="008440ED" w:rsidRDefault="00435F63">
      <w:pPr>
        <w:spacing w:line="312" w:lineRule="auto"/>
        <w:rPr>
          <w:rFonts w:ascii="黑体" w:eastAsia="黑体" w:hAnsi="黑体" w:cs="黑体"/>
          <w:sz w:val="32"/>
          <w:szCs w:val="32"/>
        </w:rPr>
      </w:pPr>
      <w:r>
        <w:rPr>
          <w:rFonts w:ascii="Times New Roman" w:eastAsia="Noto Sans CJK SC" w:hAnsi="Times New Roman"/>
        </w:rPr>
        <w:t>附件</w:t>
      </w:r>
      <w:r>
        <w:rPr>
          <w:rFonts w:ascii="Times New Roman" w:eastAsia="Noto Sans CJK SC" w:hAnsi="Times New Roman"/>
        </w:rPr>
        <w:t xml:space="preserve"> 2</w:t>
      </w:r>
    </w:p>
    <w:p w14:paraId="3957188F" w14:textId="77777777" w:rsidR="008440ED" w:rsidRDefault="00435F63">
      <w:pPr>
        <w:spacing w:line="312" w:lineRule="auto"/>
        <w:jc w:val="center"/>
        <w:rPr>
          <w:b/>
          <w:bCs/>
          <w:sz w:val="30"/>
          <w:szCs w:val="30"/>
        </w:rPr>
      </w:pPr>
      <w:r>
        <w:rPr>
          <w:rFonts w:ascii="Times New Roman" w:eastAsia="Noto Sans CJK SC" w:hAnsi="Times New Roman"/>
          <w:b/>
          <w:sz w:val="30"/>
        </w:rPr>
        <w:t xml:space="preserve">2026 </w:t>
      </w:r>
      <w:r>
        <w:rPr>
          <w:rFonts w:ascii="Times New Roman" w:eastAsia="Noto Sans CJK SC" w:hAnsi="Times New Roman"/>
          <w:b/>
          <w:sz w:val="30"/>
        </w:rPr>
        <w:t>年度广西自然科学奖公示材料</w:t>
      </w:r>
    </w:p>
    <w:p w14:paraId="5D55F0A7" w14:textId="77777777" w:rsidR="008440ED" w:rsidRDefault="008440ED">
      <w:pPr>
        <w:spacing w:line="360" w:lineRule="auto"/>
        <w:rPr>
          <w:b/>
          <w:bCs/>
          <w:sz w:val="30"/>
          <w:szCs w:val="30"/>
        </w:rPr>
      </w:pPr>
    </w:p>
    <w:p w14:paraId="44FE142E" w14:textId="77777777" w:rsidR="008440ED" w:rsidRPr="006840F0" w:rsidRDefault="00435F63">
      <w:pPr>
        <w:numPr>
          <w:ilvl w:val="0"/>
          <w:numId w:val="2"/>
        </w:numPr>
        <w:spacing w:line="360" w:lineRule="auto"/>
        <w:rPr>
          <w:rFonts w:asciiTheme="majorEastAsia" w:eastAsiaTheme="majorEastAsia" w:hAnsiTheme="majorEastAsia"/>
          <w:b/>
        </w:rPr>
      </w:pPr>
      <w:r w:rsidRPr="006840F0">
        <w:rPr>
          <w:rFonts w:asciiTheme="majorEastAsia" w:eastAsiaTheme="majorEastAsia" w:hAnsiTheme="majorEastAsia"/>
          <w:b/>
          <w:sz w:val="21"/>
        </w:rPr>
        <w:t>成果名称：若干微分方程的自适应网格算法及应用研究</w:t>
      </w:r>
    </w:p>
    <w:p w14:paraId="6258F68F" w14:textId="77777777" w:rsidR="008440ED" w:rsidRDefault="00435F63">
      <w:pPr>
        <w:spacing w:line="312" w:lineRule="auto"/>
        <w:ind w:firstLine="567"/>
        <w:rPr>
          <w:rFonts w:ascii="Times New Roman" w:eastAsia="黑体" w:hAnsi="Times New Roman"/>
          <w:b/>
        </w:rPr>
      </w:pPr>
      <w:r>
        <w:rPr>
          <w:rFonts w:ascii="Times New Roman" w:eastAsia="Noto Serif CJK SC" w:hAnsi="Times New Roman"/>
          <w:sz w:val="21"/>
        </w:rPr>
        <w:t>（自治区科技成果登记号：</w:t>
      </w:r>
      <w:r>
        <w:rPr>
          <w:rFonts w:ascii="Times New Roman" w:eastAsia="Noto Serif CJK SC" w:hAnsi="Times New Roman"/>
          <w:sz w:val="21"/>
        </w:rPr>
        <w:t>2023F011J003823</w:t>
      </w:r>
      <w:r>
        <w:rPr>
          <w:rFonts w:ascii="Times New Roman" w:eastAsia="Noto Serif CJK SC" w:hAnsi="Times New Roman"/>
          <w:sz w:val="21"/>
        </w:rPr>
        <w:t>）</w:t>
      </w:r>
    </w:p>
    <w:p w14:paraId="09F7C197" w14:textId="77777777" w:rsidR="008440ED" w:rsidRPr="006840F0" w:rsidRDefault="00435F63">
      <w:pPr>
        <w:numPr>
          <w:ilvl w:val="0"/>
          <w:numId w:val="2"/>
        </w:numPr>
        <w:spacing w:line="360" w:lineRule="auto"/>
        <w:rPr>
          <w:rFonts w:ascii="黑体" w:eastAsia="黑体" w:hAnsi="黑体"/>
        </w:rPr>
      </w:pPr>
      <w:r w:rsidRPr="006840F0">
        <w:rPr>
          <w:rFonts w:ascii="黑体" w:eastAsia="黑体" w:hAnsi="黑体"/>
          <w:b/>
          <w:sz w:val="21"/>
        </w:rPr>
        <w:t>拟提名者：</w:t>
      </w:r>
      <w:r w:rsidRPr="006840F0">
        <w:rPr>
          <w:rFonts w:ascii="黑体" w:eastAsia="黑体" w:hAnsi="黑体"/>
          <w:sz w:val="21"/>
        </w:rPr>
        <w:t>广西壮族自治区教育厅</w:t>
      </w:r>
    </w:p>
    <w:p w14:paraId="00CA7814" w14:textId="77777777" w:rsidR="008440ED" w:rsidRPr="006840F0" w:rsidRDefault="00435F63">
      <w:pPr>
        <w:numPr>
          <w:ilvl w:val="0"/>
          <w:numId w:val="2"/>
        </w:numPr>
        <w:spacing w:line="312" w:lineRule="auto"/>
        <w:rPr>
          <w:rFonts w:ascii="黑体" w:eastAsia="黑体" w:hAnsi="黑体"/>
          <w:b/>
        </w:rPr>
      </w:pPr>
      <w:r w:rsidRPr="006840F0">
        <w:rPr>
          <w:rFonts w:ascii="黑体" w:eastAsia="黑体" w:hAnsi="黑体"/>
          <w:b/>
          <w:sz w:val="21"/>
        </w:rPr>
        <w:t>成果简介</w:t>
      </w:r>
    </w:p>
    <w:p w14:paraId="726D4FE9" w14:textId="77777777" w:rsidR="008440ED" w:rsidRPr="006840F0" w:rsidRDefault="00435F63">
      <w:pPr>
        <w:spacing w:line="276" w:lineRule="auto"/>
        <w:ind w:firstLine="170"/>
        <w:rPr>
          <w:rFonts w:asciiTheme="minorEastAsia" w:eastAsiaTheme="minorEastAsia" w:hAnsiTheme="minorEastAsia"/>
          <w:sz w:val="21"/>
          <w:szCs w:val="21"/>
        </w:rPr>
      </w:pPr>
      <w:r w:rsidRPr="006840F0">
        <w:rPr>
          <w:rFonts w:asciiTheme="minorEastAsia" w:eastAsiaTheme="minorEastAsia" w:hAnsiTheme="minorEastAsia"/>
          <w:sz w:val="21"/>
          <w:szCs w:val="21"/>
        </w:rPr>
        <w:t>（限 1 页。应包含成果主要研究背景、内容、科学发现点、科学价值、同行引用及评价等。）</w:t>
      </w:r>
    </w:p>
    <w:p w14:paraId="669F83C5" w14:textId="77777777" w:rsidR="008440ED" w:rsidRPr="006840F0" w:rsidRDefault="00435F63">
      <w:pPr>
        <w:pStyle w:val="10"/>
        <w:spacing w:before="0" w:after="0" w:line="276" w:lineRule="auto"/>
        <w:ind w:firstLine="397"/>
        <w:rPr>
          <w:rFonts w:asciiTheme="minorEastAsia" w:eastAsiaTheme="minorEastAsia" w:hAnsiTheme="minorEastAsia" w:cs="PingFang-SC-Regular;宋体"/>
          <w:color w:val="06071F"/>
          <w:sz w:val="21"/>
          <w:szCs w:val="21"/>
        </w:rPr>
      </w:pPr>
      <w:r w:rsidRPr="006840F0">
        <w:rPr>
          <w:rFonts w:asciiTheme="minorEastAsia" w:eastAsiaTheme="minorEastAsia" w:hAnsiTheme="minorEastAsia"/>
          <w:sz w:val="21"/>
          <w:szCs w:val="21"/>
        </w:rPr>
        <w:t>微分方程及积分微分模型是描述对流扩散、反应扩散、时滞与记忆效应、反常输运及金融定价等过程的重要数学工具。当方程含小参数、边界层、非局部积分项、分数阶导数或非光滑初值时，经典均匀网格离散容易出现稳定性降低、误差放大和收敛阶退化。本成果围绕“复杂结构微分方程如何建立可计算的误差控制、参数鲁棒的网格生成机制和高精度数值逼近”这一基础科学问题，系统研究最大模先验/后验误差估计、自适应网格与层适应网格、参数一致收敛以及高阶差分方法，形成以下三方面主要科学发现：</w:t>
      </w:r>
    </w:p>
    <w:p w14:paraId="108F1820" w14:textId="77777777" w:rsidR="008440ED" w:rsidRPr="006840F0" w:rsidRDefault="00435F63">
      <w:pPr>
        <w:pStyle w:val="4"/>
        <w:numPr>
          <w:ilvl w:val="3"/>
          <w:numId w:val="0"/>
        </w:numPr>
        <w:spacing w:before="0" w:after="0" w:line="276" w:lineRule="auto"/>
        <w:rPr>
          <w:rFonts w:asciiTheme="minorEastAsia" w:eastAsiaTheme="minorEastAsia" w:hAnsiTheme="minorEastAsia" w:cs="宋体"/>
          <w:bCs w:val="0"/>
          <w:color w:val="06071F"/>
          <w:sz w:val="21"/>
          <w:szCs w:val="21"/>
        </w:rPr>
      </w:pPr>
      <w:r w:rsidRPr="006840F0">
        <w:rPr>
          <w:rFonts w:asciiTheme="minorEastAsia" w:eastAsiaTheme="minorEastAsia" w:hAnsiTheme="minorEastAsia"/>
          <w:sz w:val="21"/>
          <w:szCs w:val="21"/>
        </w:rPr>
        <w:t>（1）建立耦合微分方程系统的最大模后验误差理论与参数鲁棒自适应网格方法。</w:t>
      </w:r>
    </w:p>
    <w:p w14:paraId="5C9D4B41" w14:textId="77777777" w:rsidR="008440ED" w:rsidRPr="006840F0" w:rsidRDefault="00435F63">
      <w:pPr>
        <w:spacing w:line="276" w:lineRule="auto"/>
        <w:ind w:firstLine="397"/>
        <w:rPr>
          <w:rFonts w:asciiTheme="minorEastAsia" w:eastAsiaTheme="minorEastAsia" w:hAnsiTheme="minorEastAsia" w:cs="PingFang-SC-Regular;宋体"/>
          <w:color w:val="06071F"/>
          <w:sz w:val="21"/>
          <w:szCs w:val="21"/>
        </w:rPr>
      </w:pPr>
      <w:r w:rsidRPr="006840F0">
        <w:rPr>
          <w:rFonts w:asciiTheme="minorEastAsia" w:eastAsiaTheme="minorEastAsia" w:hAnsiTheme="minorEastAsia"/>
          <w:sz w:val="21"/>
          <w:szCs w:val="21"/>
        </w:rPr>
        <w:t>针对弱耦合与强耦合对流扩散系统，在非均匀网格上构造稳定离散格式，建立最大模后验误差估计，并将可计算误差界转化为监控函数和网格等分布准则。对弱耦合系统利用离散Green函数理论证明了与摄动参数无关的一阶收敛性；对强耦合系统进一步形成“后验误差估计—监控函数—弧长等分布—自适应网格”的完整计算框架。该系列结果为不依赖层位置和层宽先验信息的鲁棒数值计算提供了理论基础。（代表作1</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2）</w:t>
      </w:r>
    </w:p>
    <w:p w14:paraId="195CEF55" w14:textId="77777777" w:rsidR="008440ED" w:rsidRPr="006840F0" w:rsidRDefault="00435F63">
      <w:pPr>
        <w:pStyle w:val="4"/>
        <w:numPr>
          <w:ilvl w:val="3"/>
          <w:numId w:val="0"/>
        </w:numPr>
        <w:spacing w:before="0" w:after="0" w:line="276" w:lineRule="auto"/>
        <w:rPr>
          <w:rFonts w:asciiTheme="minorEastAsia" w:eastAsiaTheme="minorEastAsia" w:hAnsiTheme="minorEastAsia" w:cs="宋体"/>
          <w:bCs w:val="0"/>
          <w:color w:val="06071F"/>
          <w:sz w:val="21"/>
          <w:szCs w:val="21"/>
        </w:rPr>
      </w:pPr>
      <w:r w:rsidRPr="006840F0">
        <w:rPr>
          <w:rFonts w:asciiTheme="minorEastAsia" w:eastAsiaTheme="minorEastAsia" w:hAnsiTheme="minorEastAsia"/>
          <w:sz w:val="21"/>
          <w:szCs w:val="21"/>
        </w:rPr>
        <w:t>（2）发展非线性、时滞和非局部微分方程的鲁棒自适应误差分析，并推进数值精度提升。</w:t>
      </w:r>
    </w:p>
    <w:p w14:paraId="1D5646E1" w14:textId="77777777" w:rsidR="008440ED" w:rsidRPr="006840F0" w:rsidRDefault="00435F63">
      <w:pPr>
        <w:spacing w:line="276" w:lineRule="auto"/>
        <w:ind w:left="115" w:firstLine="397"/>
        <w:rPr>
          <w:rFonts w:asciiTheme="minorEastAsia" w:eastAsiaTheme="minorEastAsia" w:hAnsiTheme="minorEastAsia" w:cs="PingFang-SC-Regular;宋体"/>
          <w:color w:val="06071F"/>
          <w:sz w:val="21"/>
          <w:szCs w:val="21"/>
        </w:rPr>
      </w:pPr>
      <w:r w:rsidRPr="006840F0">
        <w:rPr>
          <w:rFonts w:asciiTheme="minorEastAsia" w:eastAsiaTheme="minorEastAsia" w:hAnsiTheme="minorEastAsia"/>
          <w:sz w:val="21"/>
          <w:szCs w:val="21"/>
        </w:rPr>
        <w:t>针对带积分边界条件的非线性微分方程，建立参数一致一阶收敛与后验误差界，并由离散解自动生成自适应网格；针对含时滞Volterra积分微分方程，同时建立最大模先验与后验误差分析，证明存在参数鲁棒的最优一阶网格，并据此构造监控函数，同时揭示标准弧长监控函数在具有转向点的时滞问题中的适用局限；针对非稳态Burger-Huxley方程，将时间离散、非线性迭代和空间自适应网格结合，获得时间、空间方向对小参数一致的收敛结果。（代表作</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3、</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4、</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6）</w:t>
      </w:r>
    </w:p>
    <w:p w14:paraId="11E9E5A8" w14:textId="77777777" w:rsidR="008440ED" w:rsidRPr="006840F0" w:rsidRDefault="00435F63">
      <w:pPr>
        <w:spacing w:line="276" w:lineRule="auto"/>
        <w:rPr>
          <w:rFonts w:asciiTheme="minorEastAsia" w:eastAsiaTheme="minorEastAsia" w:hAnsiTheme="minorEastAsia" w:cs="PingFang-SC-Regular;宋体"/>
          <w:color w:val="06071F"/>
          <w:sz w:val="21"/>
          <w:szCs w:val="21"/>
        </w:rPr>
      </w:pPr>
      <w:r w:rsidRPr="006840F0">
        <w:rPr>
          <w:rFonts w:asciiTheme="minorEastAsia" w:eastAsiaTheme="minorEastAsia" w:hAnsiTheme="minorEastAsia"/>
          <w:b/>
          <w:sz w:val="21"/>
          <w:szCs w:val="21"/>
        </w:rPr>
        <w:t>（3）建立高精度参数一致方法，并将后验误差和非均匀网格思想拓展到分数阶及金融偏微分方程。</w:t>
      </w:r>
    </w:p>
    <w:p w14:paraId="551C0F2F" w14:textId="1E2DBCAB" w:rsidR="008440ED" w:rsidRPr="006840F0" w:rsidRDefault="00435F63">
      <w:pPr>
        <w:spacing w:line="276" w:lineRule="auto"/>
        <w:ind w:firstLine="397"/>
        <w:rPr>
          <w:rFonts w:asciiTheme="minorEastAsia" w:eastAsiaTheme="minorEastAsia" w:hAnsiTheme="minorEastAsia"/>
          <w:color w:val="06071F"/>
          <w:sz w:val="21"/>
          <w:szCs w:val="21"/>
        </w:rPr>
      </w:pPr>
      <w:r w:rsidRPr="006840F0">
        <w:rPr>
          <w:rFonts w:asciiTheme="minorEastAsia" w:eastAsiaTheme="minorEastAsia" w:hAnsiTheme="minorEastAsia"/>
          <w:sz w:val="21"/>
          <w:szCs w:val="21"/>
        </w:rPr>
        <w:t>针对奇异摄动Volterra积分微分方程，采用变步长BDF2离散微分项、复合梯形公式离散积分项，在Shishkin型网格上建立稳定性与离散最大模误差分析，获得关于摄动参数近二阶一致收敛的高精度格式；针对Riemann–Liouville分数阶两点边值问题，通过等价Volterra积分方程建立稳定性和最大模后验误差估计，并构造解自适应算法；针对广义Black</w:t>
      </w:r>
      <w:r w:rsidR="004D7FE7">
        <w:rPr>
          <w:rFonts w:asciiTheme="minorEastAsia" w:eastAsiaTheme="minorEastAsia" w:hAnsiTheme="minorEastAsia"/>
          <w:sz w:val="21"/>
          <w:szCs w:val="21"/>
        </w:rPr>
        <w:t>-</w:t>
      </w:r>
      <w:r w:rsidRPr="006840F0">
        <w:rPr>
          <w:rFonts w:asciiTheme="minorEastAsia" w:eastAsiaTheme="minorEastAsia" w:hAnsiTheme="minorEastAsia"/>
          <w:sz w:val="21"/>
          <w:szCs w:val="21"/>
        </w:rPr>
        <w:t>Scholes方程，在分片均匀网格上构造中心差分与隐式时间离散方法，证明其对任意波动率和利率稳定并具有空间二阶收敛性，有效处理非光滑支付函数引起的奇性。（代表作</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5、</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7、</w:t>
      </w:r>
      <w:r w:rsidRPr="006840F0">
        <w:rPr>
          <w:rFonts w:asciiTheme="minorEastAsia" w:eastAsiaTheme="minorEastAsia" w:hAnsiTheme="minorEastAsia" w:hint="eastAsia"/>
          <w:sz w:val="21"/>
          <w:szCs w:val="21"/>
        </w:rPr>
        <w:t>1-</w:t>
      </w:r>
      <w:r w:rsidRPr="006840F0">
        <w:rPr>
          <w:rFonts w:asciiTheme="minorEastAsia" w:eastAsiaTheme="minorEastAsia" w:hAnsiTheme="minorEastAsia"/>
          <w:sz w:val="21"/>
          <w:szCs w:val="21"/>
        </w:rPr>
        <w:t>8）</w:t>
      </w:r>
    </w:p>
    <w:p w14:paraId="307F5DE9" w14:textId="77777777" w:rsidR="008440ED" w:rsidRPr="006840F0" w:rsidRDefault="00435F63">
      <w:pPr>
        <w:spacing w:line="276" w:lineRule="auto"/>
        <w:ind w:firstLine="397"/>
        <w:rPr>
          <w:rFonts w:asciiTheme="minorEastAsia" w:eastAsiaTheme="minorEastAsia" w:hAnsiTheme="minorEastAsia" w:cs="PingFang-SC-Regular;宋体"/>
          <w:color w:val="06071F"/>
          <w:sz w:val="21"/>
          <w:szCs w:val="21"/>
        </w:rPr>
      </w:pPr>
      <w:r w:rsidRPr="006840F0">
        <w:rPr>
          <w:rFonts w:asciiTheme="minorEastAsia" w:eastAsiaTheme="minorEastAsia" w:hAnsiTheme="minorEastAsia"/>
          <w:sz w:val="21"/>
          <w:szCs w:val="21"/>
        </w:rPr>
        <w:t>科学价值与同行评价：上述成果形成了“最大模误差分析—后验误差估计—自适应/非均匀网格—参数一致收敛—高精度离散”的连续研究链条，将相关理论由耦合微分方程系统拓展到非线性、时滞、积分微分、分数阶边值及金融偏微分方程。按当前材料所列Web of Science检索数据，8篇代表作他引合计355次，表明相关方法已得到国内外同行持续引用和应用。</w:t>
      </w:r>
    </w:p>
    <w:p w14:paraId="21427356" w14:textId="77777777" w:rsidR="008440ED" w:rsidRDefault="008440ED">
      <w:pPr>
        <w:spacing w:line="312" w:lineRule="auto"/>
        <w:rPr>
          <w:rFonts w:ascii="Times New Roman" w:eastAsia="黑体" w:hAnsi="Times New Roman" w:cs="PingFang-SC-Regular;宋体"/>
          <w:b/>
          <w:color w:val="06071F"/>
        </w:rPr>
      </w:pPr>
    </w:p>
    <w:p w14:paraId="0D4F6CDB" w14:textId="77777777" w:rsidR="008440ED" w:rsidRDefault="008440ED">
      <w:pPr>
        <w:spacing w:line="312" w:lineRule="auto"/>
        <w:rPr>
          <w:rFonts w:ascii="Times New Roman" w:eastAsia="黑体" w:hAnsi="Times New Roman" w:cs="PingFang-SC-Regular;宋体"/>
          <w:b/>
          <w:color w:val="06071F"/>
        </w:rPr>
      </w:pPr>
    </w:p>
    <w:p w14:paraId="7ABECA73" w14:textId="77777777" w:rsidR="008440ED" w:rsidRDefault="00435F63">
      <w:pPr>
        <w:numPr>
          <w:ilvl w:val="0"/>
          <w:numId w:val="2"/>
        </w:numPr>
        <w:spacing w:line="312" w:lineRule="auto"/>
        <w:rPr>
          <w:rFonts w:ascii="Times New Roman" w:eastAsia="黑体" w:hAnsi="Times New Roman"/>
          <w:b/>
        </w:rPr>
      </w:pPr>
      <w:r>
        <w:rPr>
          <w:rFonts w:ascii="Times New Roman" w:eastAsia="Noto Sans CJK SC" w:hAnsi="Times New Roman"/>
          <w:b/>
          <w:sz w:val="21"/>
        </w:rPr>
        <w:lastRenderedPageBreak/>
        <w:t>代表性论文（专著）目录（不超过</w:t>
      </w:r>
      <w:r>
        <w:rPr>
          <w:rFonts w:ascii="Times New Roman" w:eastAsia="Noto Sans CJK SC" w:hAnsi="Times New Roman"/>
          <w:b/>
          <w:sz w:val="21"/>
        </w:rPr>
        <w:t xml:space="preserve"> 8 </w:t>
      </w:r>
      <w:r>
        <w:rPr>
          <w:rFonts w:ascii="Times New Roman" w:eastAsia="Noto Sans CJK SC" w:hAnsi="Times New Roman"/>
          <w:b/>
          <w:sz w:val="21"/>
        </w:rPr>
        <w:t>篇）</w:t>
      </w:r>
    </w:p>
    <w:tbl>
      <w:tblPr>
        <w:tblW w:w="9468" w:type="dxa"/>
        <w:jc w:val="center"/>
        <w:tblLayout w:type="fixed"/>
        <w:tblCellMar>
          <w:left w:w="28" w:type="dxa"/>
          <w:right w:w="28" w:type="dxa"/>
        </w:tblCellMar>
        <w:tblLook w:val="04A0" w:firstRow="1" w:lastRow="0" w:firstColumn="1" w:lastColumn="0" w:noHBand="0" w:noVBand="1"/>
      </w:tblPr>
      <w:tblGrid>
        <w:gridCol w:w="416"/>
        <w:gridCol w:w="425"/>
        <w:gridCol w:w="1441"/>
        <w:gridCol w:w="851"/>
        <w:gridCol w:w="709"/>
        <w:gridCol w:w="850"/>
        <w:gridCol w:w="709"/>
        <w:gridCol w:w="826"/>
        <w:gridCol w:w="709"/>
        <w:gridCol w:w="567"/>
        <w:gridCol w:w="733"/>
        <w:gridCol w:w="543"/>
        <w:gridCol w:w="689"/>
      </w:tblGrid>
      <w:tr w:rsidR="008440ED" w14:paraId="73ACE47C" w14:textId="77777777" w:rsidTr="006840F0">
        <w:trPr>
          <w:cantSplit/>
          <w:trHeight w:val="848"/>
          <w:jc w:val="center"/>
        </w:trPr>
        <w:tc>
          <w:tcPr>
            <w:tcW w:w="416" w:type="dxa"/>
            <w:tcBorders>
              <w:top w:val="single" w:sz="8"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0469A37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排序</w:t>
            </w:r>
          </w:p>
        </w:tc>
        <w:tc>
          <w:tcPr>
            <w:tcW w:w="425"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3B04E6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类型</w:t>
            </w:r>
          </w:p>
        </w:tc>
        <w:tc>
          <w:tcPr>
            <w:tcW w:w="1441"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DBD17F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论文专著名称</w:t>
            </w:r>
          </w:p>
        </w:tc>
        <w:tc>
          <w:tcPr>
            <w:tcW w:w="851"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A4D484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年卷页（版号）</w:t>
            </w:r>
          </w:p>
        </w:tc>
        <w:tc>
          <w:tcPr>
            <w:tcW w:w="709"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1DBAFA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发表日期</w:t>
            </w:r>
          </w:p>
        </w:tc>
        <w:tc>
          <w:tcPr>
            <w:tcW w:w="850"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3ED7E6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作者</w:t>
            </w:r>
          </w:p>
        </w:tc>
        <w:tc>
          <w:tcPr>
            <w:tcW w:w="709"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9179AE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署名单位</w:t>
            </w:r>
          </w:p>
        </w:tc>
        <w:tc>
          <w:tcPr>
            <w:tcW w:w="826"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99F379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刊名</w:t>
            </w:r>
          </w:p>
        </w:tc>
        <w:tc>
          <w:tcPr>
            <w:tcW w:w="709"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C2445E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通讯作者</w:t>
            </w:r>
          </w:p>
        </w:tc>
        <w:tc>
          <w:tcPr>
            <w:tcW w:w="567"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69A11D9"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他引次数</w:t>
            </w:r>
          </w:p>
        </w:tc>
        <w:tc>
          <w:tcPr>
            <w:tcW w:w="733"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FAB7963"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检索数据库</w:t>
            </w:r>
          </w:p>
        </w:tc>
        <w:tc>
          <w:tcPr>
            <w:tcW w:w="543" w:type="dxa"/>
            <w:tcBorders>
              <w:top w:val="single" w:sz="8"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05CB6B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广西单位是否署名</w:t>
            </w:r>
          </w:p>
        </w:tc>
        <w:tc>
          <w:tcPr>
            <w:tcW w:w="689" w:type="dxa"/>
            <w:tcBorders>
              <w:top w:val="single" w:sz="8"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7FDA459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附件编号</w:t>
            </w:r>
          </w:p>
        </w:tc>
      </w:tr>
      <w:tr w:rsidR="008440ED" w14:paraId="3BC651E2" w14:textId="77777777" w:rsidTr="006840F0">
        <w:trPr>
          <w:cantSplit/>
          <w:trHeight w:val="2457"/>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4AC6527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556B55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A76913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 robust adaptive grid method for a system of two singularly perturbed convection-diffusion equations with weak coupling</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1AE761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2014, 61(1): 1-16</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CF58BF9"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2013.12.09</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307C911"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 Yanping Chen</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CB9638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华南师范大学；池州学院</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F2BD70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Journal of Scientific Computing</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FE62A1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Yanping Chen</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BE9DE3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35</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5FEDBC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D42BF3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否</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34AF150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1-1</w:t>
            </w:r>
          </w:p>
        </w:tc>
      </w:tr>
      <w:tr w:rsidR="008440ED" w14:paraId="450E5DF8" w14:textId="77777777" w:rsidTr="006840F0">
        <w:trPr>
          <w:cantSplit/>
          <w:trHeight w:val="2457"/>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4240289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262DCE3"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5C0BFB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A-posteriori error estimation in maximum norm for a strongly coupled system of two singularly perturbed convection-diffusion problems</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E88963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2017, 313: 152-167</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8F8A78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2016.08.17</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63FF28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 Yanping Chen</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E483B6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广西师范学院（现南宁师范大学）；华南师范大学</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41C8D5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Journal of Computational and Applied Mathematics</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6679DD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Yanping Chen</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01F53B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30</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CDC658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E30E80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是</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55414C0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1-2</w:t>
            </w:r>
          </w:p>
        </w:tc>
      </w:tr>
      <w:tr w:rsidR="008440ED" w14:paraId="5F49FE0F" w14:textId="77777777" w:rsidTr="006840F0">
        <w:trPr>
          <w:cantSplit/>
          <w:trHeight w:val="2457"/>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5337BA2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3</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BEC3EF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13814F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Numerical analysis of a nonlinear singularly perturbed delay Volterra integro-differential equation on an adaptive grid</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F89515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2022, 40(2): 258-274</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2039D3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2022.03.15</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FB298C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 Yanping Chen; Ying Liang</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19AD4D1"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南宁师范大学；华南师范大学</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BE3495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Journal of Computational Mathematics</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98077C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Yanping Chen</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07FCE7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7</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2211F93"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BC50A8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是</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61323C8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1-3</w:t>
            </w:r>
          </w:p>
        </w:tc>
      </w:tr>
      <w:tr w:rsidR="008440ED" w14:paraId="14210098" w14:textId="77777777" w:rsidTr="006840F0">
        <w:trPr>
          <w:cantSplit/>
          <w:trHeight w:val="2457"/>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34A4638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4</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18C442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D2093B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 robust adaptive grid method for singularly perturbed Burger-Huxley equations</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5D0C39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2020, 28(4): 1439-1457</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4ECD42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2020.07.31</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C936A2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 Ying Liang; Jian Zhang; Xiaobing Bao</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E5D3F4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南宁师范大学；池州学院</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A51553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Electronic Research Archive</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D400C2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D2026B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21</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5790FF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06580D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是</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510DA93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1-4</w:t>
            </w:r>
          </w:p>
        </w:tc>
      </w:tr>
      <w:tr w:rsidR="008440ED" w14:paraId="325041A5" w14:textId="77777777" w:rsidTr="006840F0">
        <w:trPr>
          <w:cantSplit/>
          <w:trHeight w:val="2457"/>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51207AC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5</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612B03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5FEB68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 posteriori error estimation in maximum norm for a two-point boundary value problem with a Riemann-Liouville fractional derivative</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7AD014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2020, 102: 106086</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316EF7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2019.08.20</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1ED669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Zhongdi Cen; Li-Bin Liu; Jian Huang</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B84CDAC"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浙江万里学院；南宁师范大学</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0D3292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Applied Mathematics Letters</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FDDDBB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D41BCB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32</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DF180C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4E683C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是</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1A5B0EB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1-5</w:t>
            </w:r>
          </w:p>
        </w:tc>
      </w:tr>
      <w:tr w:rsidR="008440ED" w14:paraId="5B6A91F2" w14:textId="77777777" w:rsidTr="006840F0">
        <w:trPr>
          <w:cantSplit/>
          <w:trHeight w:val="1680"/>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4BF3358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lastRenderedPageBreak/>
              <w:t>6</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C58522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355910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 robust adaptive grid method for a nonlinear singularly perturbed differential equation with integral boundary condition</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34A92C4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2020, 83(2): 719-739</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9149A4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2019.04.09</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670552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 Guangqing Long; Zhongdi Cen</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E7EFF6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南宁师范大学；浙江万里学院</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918C42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Numerical Algorithms</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62A96D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Guangqing Long</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AE97B30"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24</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A27CC6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3D9A83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是</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20183309"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1-6</w:t>
            </w:r>
          </w:p>
        </w:tc>
      </w:tr>
      <w:tr w:rsidR="008440ED" w14:paraId="085F7FE9" w14:textId="77777777" w:rsidTr="006840F0">
        <w:trPr>
          <w:cantSplit/>
          <w:trHeight w:val="876"/>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226DDB2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7</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B7DA37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DF4D17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 novel parameter-uniform numerical method for a singularly perturbed Volterra integro-differential equation</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41495C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2023, 42(1): 12</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4C2BB13"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2022.12.15</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D8FA23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 Yige Liao; Guangqing Long</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A4E06EC"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南宁师范大学</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E6C4C67"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Computational and Applied Mathematics</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BBBB58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Li-Bin Liu</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B2FD908"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53</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5A5CB6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479949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是</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17468B6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1-7</w:t>
            </w:r>
          </w:p>
        </w:tc>
      </w:tr>
      <w:tr w:rsidR="008440ED" w14:paraId="2A3B6CDB" w14:textId="77777777" w:rsidTr="006840F0">
        <w:trPr>
          <w:cantSplit/>
          <w:trHeight w:val="876"/>
          <w:jc w:val="center"/>
        </w:trPr>
        <w:tc>
          <w:tcPr>
            <w:tcW w:w="416" w:type="dxa"/>
            <w:tcBorders>
              <w:top w:val="single" w:sz="4" w:space="0" w:color="000000"/>
              <w:left w:val="single" w:sz="8" w:space="0" w:color="000000"/>
              <w:bottom w:val="single" w:sz="4" w:space="0" w:color="000000"/>
              <w:right w:val="single" w:sz="4" w:space="0" w:color="000000"/>
            </w:tcBorders>
            <w:tcMar>
              <w:top w:w="25" w:type="dxa"/>
              <w:left w:w="18" w:type="dxa"/>
              <w:bottom w:w="25" w:type="dxa"/>
              <w:right w:w="18" w:type="dxa"/>
            </w:tcMar>
            <w:vAlign w:val="center"/>
          </w:tcPr>
          <w:p w14:paraId="52BAC0A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8</w:t>
            </w:r>
          </w:p>
        </w:tc>
        <w:tc>
          <w:tcPr>
            <w:tcW w:w="425"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17E54B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论文</w:t>
            </w:r>
          </w:p>
        </w:tc>
        <w:tc>
          <w:tcPr>
            <w:tcW w:w="144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68495DF"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A robust and accurate finite difference method for a generalized Black-Scholes equation</w:t>
            </w:r>
          </w:p>
        </w:tc>
        <w:tc>
          <w:tcPr>
            <w:tcW w:w="851"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677657FD"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2011, 235(13): 3728-3733</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421A65CB"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2011.05.01</w:t>
            </w:r>
          </w:p>
        </w:tc>
        <w:tc>
          <w:tcPr>
            <w:tcW w:w="850"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9BFF145"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Zhongdi Cen; Anbo Le</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3979359"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浙江万里学院</w:t>
            </w:r>
          </w:p>
        </w:tc>
        <w:tc>
          <w:tcPr>
            <w:tcW w:w="826"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08FC886A"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Journal of Computational and Applied Mathematics</w:t>
            </w:r>
          </w:p>
        </w:tc>
        <w:tc>
          <w:tcPr>
            <w:tcW w:w="709"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5B09FE2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Zhongdi Cen</w:t>
            </w:r>
          </w:p>
        </w:tc>
        <w:tc>
          <w:tcPr>
            <w:tcW w:w="567"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29673DF6"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153</w:t>
            </w:r>
          </w:p>
        </w:tc>
        <w:tc>
          <w:tcPr>
            <w:tcW w:w="73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78C0D783"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Web of Science</w:t>
            </w:r>
          </w:p>
        </w:tc>
        <w:tc>
          <w:tcPr>
            <w:tcW w:w="543" w:type="dxa"/>
            <w:tcBorders>
              <w:top w:val="single" w:sz="4" w:space="0" w:color="000000"/>
              <w:left w:val="single" w:sz="4" w:space="0" w:color="000000"/>
              <w:bottom w:val="single" w:sz="4" w:space="0" w:color="000000"/>
              <w:right w:val="single" w:sz="4" w:space="0" w:color="000000"/>
            </w:tcBorders>
            <w:tcMar>
              <w:top w:w="25" w:type="dxa"/>
              <w:left w:w="18" w:type="dxa"/>
              <w:bottom w:w="25" w:type="dxa"/>
              <w:right w:w="18" w:type="dxa"/>
            </w:tcMar>
            <w:vAlign w:val="center"/>
          </w:tcPr>
          <w:p w14:paraId="1918B1E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否</w:t>
            </w:r>
          </w:p>
        </w:tc>
        <w:tc>
          <w:tcPr>
            <w:tcW w:w="689" w:type="dxa"/>
            <w:tcBorders>
              <w:top w:val="single" w:sz="4" w:space="0" w:color="000000"/>
              <w:left w:val="single" w:sz="4" w:space="0" w:color="000000"/>
              <w:bottom w:val="single" w:sz="4" w:space="0" w:color="000000"/>
              <w:right w:val="single" w:sz="8" w:space="0" w:color="000000"/>
            </w:tcBorders>
            <w:tcMar>
              <w:top w:w="25" w:type="dxa"/>
              <w:left w:w="18" w:type="dxa"/>
              <w:bottom w:w="25" w:type="dxa"/>
              <w:right w:w="18" w:type="dxa"/>
            </w:tcMar>
            <w:vAlign w:val="center"/>
          </w:tcPr>
          <w:p w14:paraId="636EBC51"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1-8</w:t>
            </w:r>
          </w:p>
        </w:tc>
      </w:tr>
      <w:tr w:rsidR="008440ED" w14:paraId="16F8F955" w14:textId="77777777" w:rsidTr="006840F0">
        <w:trPr>
          <w:cantSplit/>
          <w:trHeight w:val="471"/>
          <w:jc w:val="center"/>
        </w:trPr>
        <w:tc>
          <w:tcPr>
            <w:tcW w:w="6936" w:type="dxa"/>
            <w:gridSpan w:val="9"/>
            <w:tcBorders>
              <w:top w:val="single" w:sz="4" w:space="0" w:color="000000"/>
              <w:left w:val="single" w:sz="8" w:space="0" w:color="000000"/>
              <w:bottom w:val="single" w:sz="8" w:space="0" w:color="000000"/>
              <w:right w:val="single" w:sz="4" w:space="0" w:color="000000"/>
            </w:tcBorders>
            <w:tcMar>
              <w:top w:w="25" w:type="dxa"/>
              <w:left w:w="18" w:type="dxa"/>
              <w:bottom w:w="25" w:type="dxa"/>
              <w:right w:w="18" w:type="dxa"/>
            </w:tcMar>
            <w:vAlign w:val="center"/>
          </w:tcPr>
          <w:p w14:paraId="44CBE9F2"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合计</w:t>
            </w:r>
          </w:p>
        </w:tc>
        <w:tc>
          <w:tcPr>
            <w:tcW w:w="567" w:type="dxa"/>
            <w:tcBorders>
              <w:top w:val="single" w:sz="4" w:space="0" w:color="000000"/>
              <w:left w:val="single" w:sz="4" w:space="0" w:color="000000"/>
              <w:bottom w:val="single" w:sz="8" w:space="0" w:color="000000"/>
              <w:right w:val="single" w:sz="4" w:space="0" w:color="000000"/>
            </w:tcBorders>
            <w:tcMar>
              <w:top w:w="25" w:type="dxa"/>
              <w:left w:w="18" w:type="dxa"/>
              <w:bottom w:w="25" w:type="dxa"/>
              <w:right w:w="18" w:type="dxa"/>
            </w:tcMar>
            <w:vAlign w:val="center"/>
          </w:tcPr>
          <w:p w14:paraId="5DDAC15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355</w:t>
            </w:r>
          </w:p>
        </w:tc>
        <w:tc>
          <w:tcPr>
            <w:tcW w:w="733" w:type="dxa"/>
            <w:tcBorders>
              <w:top w:val="single" w:sz="4" w:space="0" w:color="000000"/>
              <w:left w:val="single" w:sz="4" w:space="0" w:color="000000"/>
              <w:bottom w:val="single" w:sz="8" w:space="0" w:color="000000"/>
              <w:right w:val="single" w:sz="4" w:space="0" w:color="000000"/>
            </w:tcBorders>
            <w:tcMar>
              <w:top w:w="25" w:type="dxa"/>
              <w:left w:w="18" w:type="dxa"/>
              <w:bottom w:w="25" w:type="dxa"/>
              <w:right w:w="18" w:type="dxa"/>
            </w:tcMar>
            <w:vAlign w:val="center"/>
          </w:tcPr>
          <w:p w14:paraId="2C379A3E"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t>
            </w:r>
          </w:p>
        </w:tc>
        <w:tc>
          <w:tcPr>
            <w:tcW w:w="543" w:type="dxa"/>
            <w:tcBorders>
              <w:top w:val="single" w:sz="4" w:space="0" w:color="000000"/>
              <w:left w:val="single" w:sz="4" w:space="0" w:color="000000"/>
              <w:bottom w:val="single" w:sz="8" w:space="0" w:color="000000"/>
              <w:right w:val="single" w:sz="4" w:space="0" w:color="000000"/>
            </w:tcBorders>
            <w:tcMar>
              <w:top w:w="25" w:type="dxa"/>
              <w:left w:w="18" w:type="dxa"/>
              <w:bottom w:w="25" w:type="dxa"/>
              <w:right w:w="18" w:type="dxa"/>
            </w:tcMar>
            <w:vAlign w:val="center"/>
          </w:tcPr>
          <w:p w14:paraId="6C25177C"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t>
            </w:r>
          </w:p>
        </w:tc>
        <w:tc>
          <w:tcPr>
            <w:tcW w:w="689" w:type="dxa"/>
            <w:tcBorders>
              <w:top w:val="single" w:sz="4" w:space="0" w:color="000000"/>
              <w:left w:val="single" w:sz="4" w:space="0" w:color="000000"/>
              <w:bottom w:val="single" w:sz="8" w:space="0" w:color="000000"/>
              <w:right w:val="single" w:sz="8" w:space="0" w:color="000000"/>
            </w:tcBorders>
            <w:tcMar>
              <w:top w:w="25" w:type="dxa"/>
              <w:left w:w="18" w:type="dxa"/>
              <w:bottom w:w="25" w:type="dxa"/>
              <w:right w:w="18" w:type="dxa"/>
            </w:tcMar>
            <w:vAlign w:val="center"/>
          </w:tcPr>
          <w:p w14:paraId="6602DD84" w14:textId="77777777" w:rsidR="008440ED" w:rsidRPr="006840F0" w:rsidRDefault="00435F63">
            <w:pPr>
              <w:jc w:val="center"/>
              <w:rPr>
                <w:rFonts w:ascii="Times New Roman" w:eastAsiaTheme="minorEastAsia" w:hAnsi="Times New Roman" w:cs="Times New Roman"/>
                <w:sz w:val="21"/>
                <w:szCs w:val="21"/>
              </w:rPr>
            </w:pPr>
            <w:r w:rsidRPr="006840F0">
              <w:rPr>
                <w:rFonts w:ascii="Times New Roman" w:eastAsiaTheme="minorEastAsia" w:hAnsi="Times New Roman" w:cs="Times New Roman"/>
                <w:sz w:val="21"/>
                <w:szCs w:val="21"/>
              </w:rPr>
              <w:t>/</w:t>
            </w:r>
          </w:p>
        </w:tc>
      </w:tr>
    </w:tbl>
    <w:p w14:paraId="6881E654" w14:textId="77777777" w:rsidR="008440ED" w:rsidRDefault="008440ED">
      <w:pPr>
        <w:spacing w:line="360" w:lineRule="auto"/>
        <w:rPr>
          <w:rFonts w:ascii="Times New Roman" w:eastAsia="黑体" w:hAnsi="Times New Roman"/>
          <w:b/>
        </w:rPr>
      </w:pPr>
    </w:p>
    <w:p w14:paraId="5A6E040C" w14:textId="77777777" w:rsidR="008440ED" w:rsidRPr="006840F0" w:rsidRDefault="00435F63">
      <w:pPr>
        <w:spacing w:line="312" w:lineRule="auto"/>
        <w:rPr>
          <w:rFonts w:asciiTheme="majorEastAsia" w:eastAsiaTheme="majorEastAsia" w:hAnsiTheme="majorEastAsia"/>
          <w:b/>
        </w:rPr>
      </w:pPr>
      <w:r w:rsidRPr="006840F0">
        <w:rPr>
          <w:rFonts w:asciiTheme="majorEastAsia" w:eastAsiaTheme="majorEastAsia" w:hAnsiTheme="majorEastAsia"/>
          <w:b/>
          <w:sz w:val="21"/>
        </w:rPr>
        <w:t>五、候选人姓名</w:t>
      </w:r>
    </w:p>
    <w:p w14:paraId="499E30E7" w14:textId="77777777" w:rsidR="008440ED" w:rsidRDefault="00435F63">
      <w:pPr>
        <w:spacing w:line="312" w:lineRule="auto"/>
        <w:ind w:firstLine="397"/>
        <w:rPr>
          <w:rFonts w:ascii="Times New Roman" w:hAnsi="Times New Roman"/>
          <w:color w:val="000000"/>
          <w:szCs w:val="21"/>
        </w:rPr>
      </w:pPr>
      <w:r>
        <w:rPr>
          <w:rFonts w:ascii="Times New Roman" w:eastAsia="Noto Serif CJK SC" w:hAnsi="Times New Roman"/>
          <w:sz w:val="21"/>
        </w:rPr>
        <w:t>刘利斌，岑仲迪，隆广庆，包小兵</w:t>
      </w:r>
    </w:p>
    <w:p w14:paraId="54C6E103" w14:textId="77777777" w:rsidR="008440ED" w:rsidRPr="006840F0" w:rsidRDefault="00435F63">
      <w:pPr>
        <w:spacing w:line="312" w:lineRule="auto"/>
        <w:rPr>
          <w:rFonts w:asciiTheme="majorEastAsia" w:eastAsiaTheme="majorEastAsia" w:hAnsiTheme="majorEastAsia"/>
          <w:b/>
        </w:rPr>
      </w:pPr>
      <w:r w:rsidRPr="006840F0">
        <w:rPr>
          <w:rFonts w:asciiTheme="majorEastAsia" w:eastAsiaTheme="majorEastAsia" w:hAnsiTheme="majorEastAsia"/>
          <w:b/>
          <w:sz w:val="21"/>
        </w:rPr>
        <w:t>六、候选单位名称</w:t>
      </w:r>
    </w:p>
    <w:p w14:paraId="6CB31AC9" w14:textId="77777777" w:rsidR="008440ED" w:rsidRDefault="00435F63">
      <w:pPr>
        <w:spacing w:line="312" w:lineRule="auto"/>
        <w:ind w:firstLine="397"/>
        <w:rPr>
          <w:rFonts w:ascii="Times New Roman" w:hAnsi="Times New Roman"/>
          <w:b/>
        </w:rPr>
      </w:pPr>
      <w:r>
        <w:rPr>
          <w:rFonts w:ascii="Times New Roman" w:eastAsia="Noto Serif CJK SC" w:hAnsi="Times New Roman"/>
          <w:sz w:val="21"/>
        </w:rPr>
        <w:t>南宁师范大学，浙江万里学院，池州学院</w:t>
      </w:r>
    </w:p>
    <w:p w14:paraId="2E178409" w14:textId="77777777" w:rsidR="008440ED" w:rsidRPr="006840F0" w:rsidRDefault="00435F63">
      <w:pPr>
        <w:spacing w:line="312" w:lineRule="auto"/>
        <w:outlineLvl w:val="1"/>
        <w:rPr>
          <w:rFonts w:asciiTheme="majorEastAsia" w:eastAsiaTheme="majorEastAsia" w:hAnsiTheme="majorEastAsia"/>
          <w:b/>
        </w:rPr>
      </w:pPr>
      <w:r w:rsidRPr="006840F0">
        <w:rPr>
          <w:rFonts w:asciiTheme="majorEastAsia" w:eastAsiaTheme="majorEastAsia" w:hAnsiTheme="majorEastAsia"/>
          <w:b/>
          <w:sz w:val="21"/>
        </w:rPr>
        <w:t>七、候选个人合作情况</w:t>
      </w:r>
    </w:p>
    <w:p w14:paraId="57312037" w14:textId="77777777" w:rsidR="008440ED" w:rsidRPr="006840F0" w:rsidRDefault="00435F63">
      <w:pPr>
        <w:spacing w:line="312" w:lineRule="auto"/>
        <w:rPr>
          <w:rFonts w:asciiTheme="minorEastAsia" w:eastAsiaTheme="minorEastAsia" w:hAnsiTheme="minorEastAsia"/>
          <w:b/>
          <w:sz w:val="21"/>
          <w:szCs w:val="21"/>
        </w:rPr>
      </w:pPr>
      <w:r w:rsidRPr="006840F0">
        <w:rPr>
          <w:rFonts w:asciiTheme="minorEastAsia" w:eastAsiaTheme="minorEastAsia" w:hAnsiTheme="minorEastAsia"/>
          <w:sz w:val="21"/>
          <w:szCs w:val="21"/>
        </w:rPr>
        <w:t>（候选个人不在同一工作单位的，应填写该说明。候选个人均为同一单位则不用填写该说明。）</w:t>
      </w:r>
    </w:p>
    <w:p w14:paraId="12ADBABF" w14:textId="77777777" w:rsidR="008440ED" w:rsidRPr="006840F0" w:rsidRDefault="00435F63">
      <w:pPr>
        <w:snapToGrid w:val="0"/>
        <w:spacing w:line="288" w:lineRule="auto"/>
        <w:ind w:firstLine="397"/>
        <w:rPr>
          <w:rFonts w:asciiTheme="minorEastAsia" w:eastAsiaTheme="minorEastAsia" w:hAnsiTheme="minorEastAsia"/>
          <w:sz w:val="21"/>
          <w:szCs w:val="21"/>
        </w:rPr>
      </w:pPr>
      <w:bookmarkStart w:id="0" w:name="_Hlk144113780"/>
      <w:bookmarkEnd w:id="0"/>
      <w:r w:rsidRPr="006840F0">
        <w:rPr>
          <w:rFonts w:asciiTheme="minorEastAsia" w:eastAsiaTheme="minorEastAsia" w:hAnsiTheme="minorEastAsia"/>
          <w:sz w:val="21"/>
          <w:szCs w:val="21"/>
        </w:rPr>
        <w:t>刘利斌与岑仲迪围绕分数阶边值问题、非线性积分边界问题及后验误差估计</w:t>
      </w:r>
      <w:r w:rsidRPr="006840F0">
        <w:rPr>
          <w:rFonts w:asciiTheme="minorEastAsia" w:eastAsiaTheme="minorEastAsia" w:hAnsiTheme="minorEastAsia" w:hint="eastAsia"/>
          <w:sz w:val="21"/>
          <w:szCs w:val="21"/>
        </w:rPr>
        <w:t>等方面开展</w:t>
      </w:r>
      <w:r w:rsidRPr="006840F0">
        <w:rPr>
          <w:rFonts w:asciiTheme="minorEastAsia" w:eastAsiaTheme="minorEastAsia" w:hAnsiTheme="minorEastAsia"/>
          <w:sz w:val="21"/>
          <w:szCs w:val="21"/>
        </w:rPr>
        <w:t>合作；刘利斌与包小兵围绕非稳态非线性Burger-Huxley方程的鲁棒自适应离散开展合作。上述合作围绕微分方程误差分析、自适应网格和参数鲁棒数值方法的统一科学主线展开。</w:t>
      </w:r>
    </w:p>
    <w:sectPr w:rsidR="008440ED" w:rsidRPr="006840F0">
      <w:footerReference w:type="default" r:id="rId8"/>
      <w:pgSz w:w="11906" w:h="16838"/>
      <w:pgMar w:top="879" w:right="992" w:bottom="879" w:left="992" w:header="0" w:footer="992"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43E7F" w14:textId="77777777" w:rsidR="00471770" w:rsidRDefault="00471770">
      <w:r>
        <w:separator/>
      </w:r>
    </w:p>
  </w:endnote>
  <w:endnote w:type="continuationSeparator" w:id="0">
    <w:p w14:paraId="7832A60A" w14:textId="77777777" w:rsidR="00471770" w:rsidRDefault="0047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Lohit Devanagari">
    <w:altName w:val="Calibri"/>
    <w:charset w:val="00"/>
    <w:family w:val="auto"/>
    <w:pitch w:val="default"/>
  </w:font>
  <w:font w:name="Liberation Sans">
    <w:altName w:val="Arial"/>
    <w:charset w:val="01"/>
    <w:family w:val="swiss"/>
    <w:pitch w:val="default"/>
  </w:font>
  <w:font w:name="Noto Sans CJK SC">
    <w:altName w:val="Calibri"/>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Noto Serif CJK SC">
    <w:altName w:val="宋体"/>
    <w:charset w:val="86"/>
    <w:family w:val="auto"/>
    <w:pitch w:val="default"/>
  </w:font>
  <w:font w:name="PingFang-SC-Regular;宋体">
    <w:altName w:val="宋体"/>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ECE7" w14:textId="77777777" w:rsidR="008440ED" w:rsidRDefault="00435F63">
    <w:pPr>
      <w:pStyle w:val="a5"/>
      <w:rPr>
        <w:lang w:eastAsia="en-US"/>
      </w:rPr>
    </w:pPr>
    <w:r>
      <w:rPr>
        <w:noProof/>
      </w:rPr>
      <mc:AlternateContent>
        <mc:Choice Requires="wps">
          <w:drawing>
            <wp:anchor distT="0" distB="0" distL="114935" distR="114935" simplePos="0" relativeHeight="251659264" behindDoc="1" locked="0" layoutInCell="0" allowOverlap="1" wp14:anchorId="0BF86781" wp14:editId="53A76BFF">
              <wp:simplePos x="0" y="0"/>
              <wp:positionH relativeFrom="margin">
                <wp:align>center</wp:align>
              </wp:positionH>
              <wp:positionV relativeFrom="paragraph">
                <wp:posOffset>635</wp:posOffset>
              </wp:positionV>
              <wp:extent cx="66675" cy="156845"/>
              <wp:effectExtent l="0" t="0" r="0" b="0"/>
              <wp:wrapNone/>
              <wp:docPr id="1" name="Frame1"/>
              <wp:cNvGraphicFramePr/>
              <a:graphic xmlns:a="http://schemas.openxmlformats.org/drawingml/2006/main">
                <a:graphicData uri="http://schemas.microsoft.com/office/word/2010/wordprocessingShape">
                  <wps:wsp>
                    <wps:cNvSpPr txBox="1"/>
                    <wps:spPr>
                      <a:xfrm>
                        <a:off x="0" y="0"/>
                        <a:ext cx="66675" cy="156845"/>
                      </a:xfrm>
                      <a:prstGeom prst="rect">
                        <a:avLst/>
                      </a:prstGeom>
                      <a:solidFill>
                        <a:srgbClr val="FFFFFF">
                          <a:alpha val="0"/>
                        </a:srgbClr>
                      </a:solidFill>
                    </wps:spPr>
                    <wps:txbx>
                      <w:txbxContent>
                        <w:p w14:paraId="58E6EEF3" w14:textId="77777777" w:rsidR="008440ED" w:rsidRDefault="00435F63">
                          <w:pPr>
                            <w:pStyle w:val="a5"/>
                          </w:pPr>
                          <w:r>
                            <w:fldChar w:fldCharType="begin"/>
                          </w:r>
                          <w:r>
                            <w:instrText xml:space="preserve"> PAGE </w:instrText>
                          </w:r>
                          <w:r>
                            <w:fldChar w:fldCharType="separate"/>
                          </w:r>
                          <w:r>
                            <w:t>4</w:t>
                          </w:r>
                          <w:r>
                            <w:fldChar w:fldCharType="end"/>
                          </w:r>
                        </w:p>
                      </w:txbxContent>
                    </wps:txbx>
                    <wps:bodyPr lIns="635" tIns="635" rIns="635" bIns="635" anchor="t">
                      <a:spAutoFit/>
                    </wps:bodyPr>
                  </wps:wsp>
                </a:graphicData>
              </a:graphic>
            </wp:anchor>
          </w:drawing>
        </mc:Choice>
        <mc:Fallback xmlns:wpsCustomData="http://www.wps.cn/officeDocument/2013/wpsCustomData">
          <w:pict>
            <v:shape id="Frame1" o:spid="_x0000_s1026" o:spt="202" type="#_x0000_t202" style="position:absolute;left:0pt;margin-top:0.05pt;height:12.35pt;width:5.25pt;mso-position-horizontal:center;mso-position-horizontal-relative:margin;z-index:-251657216;mso-width-relative:page;mso-height-relative:page;" fillcolor="#FFFFFF" filled="t" stroked="f" coordsize="21600,21600" o:allowincell="f" o:gfxdata="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VM5D0gAAAAMBAAAPAAAAAAAAAAEAIAAAACIAAABkcnMvZG93bnJl&#10;di54bWxQSwECFAAUAAAACACHTuJAbJ+UrsoBAAC6AwAADgAAAAAAAAABACAAAAAhAQAAZHJzL2Uy&#10;b0RvYy54bWxQSwUGAAAAAAYABgBZAQAAXQUAAAAA&#10;">
              <v:fill on="t" opacity="0f" focussize="0,0"/>
              <v:stroke on="f"/>
              <v:imagedata o:title=""/>
              <o:lock v:ext="edit" aspectratio="f"/>
              <v:textbox inset="0.05pt,0.05pt,0.05pt,0.05pt" style="mso-fit-shape-to-text:t;">
                <w:txbxContent>
                  <w:p w14:paraId="110701DA">
                    <w:pPr>
                      <w:pStyle w:val="6"/>
                      <w:rPr>
                        <w:rFonts w:hint="eastAsia"/>
                      </w:rPr>
                    </w:pPr>
                    <w:r>
                      <w:fldChar w:fldCharType="begin"/>
                    </w:r>
                    <w:r>
                      <w:instrText xml:space="preserve"> PAGE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1CE0E" w14:textId="77777777" w:rsidR="00471770" w:rsidRDefault="00471770">
      <w:r>
        <w:separator/>
      </w:r>
    </w:p>
  </w:footnote>
  <w:footnote w:type="continuationSeparator" w:id="0">
    <w:p w14:paraId="6A208BD9" w14:textId="77777777" w:rsidR="00471770" w:rsidRDefault="00471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singleLevel"/>
    <w:tmpl w:val="CF092B84"/>
    <w:lvl w:ilvl="0">
      <w:start w:val="1"/>
      <w:numFmt w:val="chineseCountingThousand"/>
      <w:suff w:val="nothing"/>
      <w:lvlText w:val="%1、"/>
      <w:lvlJc w:val="left"/>
      <w:pPr>
        <w:tabs>
          <w:tab w:val="left" w:pos="0"/>
        </w:tabs>
        <w:ind w:left="0" w:firstLine="0"/>
      </w:pPr>
    </w:lvl>
  </w:abstractNum>
  <w:abstractNum w:abstractNumId="1" w15:restartNumberingAfterBreak="0">
    <w:nsid w:val="0053208E"/>
    <w:multiLevelType w:val="multilevel"/>
    <w:tmpl w:val="0053208E"/>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autoHyphenation/>
  <w:hyphenationZone w:val="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Y4N2YwZGJlYzQyYjBkMzkyZmI3YzgyMjU5NzQxNTcifQ=="/>
  </w:docVars>
  <w:rsids>
    <w:rsidRoot w:val="00FD61F6"/>
    <w:rsid w:val="001B30C9"/>
    <w:rsid w:val="00293366"/>
    <w:rsid w:val="002A5359"/>
    <w:rsid w:val="002A7686"/>
    <w:rsid w:val="00435F63"/>
    <w:rsid w:val="00471770"/>
    <w:rsid w:val="004D7FE7"/>
    <w:rsid w:val="0066511A"/>
    <w:rsid w:val="006826BA"/>
    <w:rsid w:val="006840F0"/>
    <w:rsid w:val="008440ED"/>
    <w:rsid w:val="009B3D24"/>
    <w:rsid w:val="00A4765E"/>
    <w:rsid w:val="00EA28A0"/>
    <w:rsid w:val="00FA0ECE"/>
    <w:rsid w:val="00FD61F6"/>
    <w:rsid w:val="1C6B2D03"/>
    <w:rsid w:val="289B3D96"/>
    <w:rsid w:val="2BCE1BC7"/>
    <w:rsid w:val="40384169"/>
    <w:rsid w:val="4D4D03A9"/>
    <w:rsid w:val="4EDC4F67"/>
    <w:rsid w:val="578A1F8F"/>
    <w:rsid w:val="6EBD5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203B8"/>
  <w15:docId w15:val="{15F962BB-1356-4110-A5D7-5BE0D19C7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qFormat="1"/>
    <w:lsdException w:name="List"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rFonts w:ascii="宋体" w:hAnsi="宋体" w:cs="宋体"/>
      <w:sz w:val="24"/>
      <w:szCs w:val="24"/>
    </w:rPr>
  </w:style>
  <w:style w:type="paragraph" w:styleId="3">
    <w:name w:val="heading 3"/>
    <w:basedOn w:val="a"/>
    <w:next w:val="a0"/>
    <w:qFormat/>
    <w:pPr>
      <w:numPr>
        <w:ilvl w:val="2"/>
        <w:numId w:val="1"/>
      </w:numPr>
      <w:spacing w:before="100" w:after="100"/>
      <w:outlineLvl w:val="2"/>
    </w:pPr>
    <w:rPr>
      <w:b/>
      <w:bCs/>
      <w:sz w:val="27"/>
      <w:szCs w:val="27"/>
    </w:rPr>
  </w:style>
  <w:style w:type="paragraph" w:styleId="4">
    <w:name w:val="heading 4"/>
    <w:basedOn w:val="a"/>
    <w:next w:val="a"/>
    <w:qFormat/>
    <w:pPr>
      <w:keepNext/>
      <w:keepLines/>
      <w:numPr>
        <w:ilvl w:val="3"/>
        <w:numId w:val="1"/>
      </w:numPr>
      <w:spacing w:before="280" w:after="290" w:line="374" w:lineRule="auto"/>
      <w:outlineLvl w:val="3"/>
    </w:pPr>
    <w:rPr>
      <w:rFonts w:ascii="等线 Light" w:eastAsia="等线 Light" w:hAnsi="等线 Light"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40" w:line="276" w:lineRule="auto"/>
    </w:pPr>
  </w:style>
  <w:style w:type="paragraph" w:styleId="a4">
    <w:name w:val="caption"/>
    <w:basedOn w:val="a"/>
    <w:qFormat/>
    <w:pPr>
      <w:suppressLineNumbers/>
      <w:spacing w:before="120" w:after="120"/>
    </w:pPr>
    <w:rPr>
      <w:rFonts w:cs="Lohit Devanagari"/>
      <w:i/>
      <w:iCs/>
    </w:rPr>
  </w:style>
  <w:style w:type="paragraph" w:styleId="a5">
    <w:name w:val="footer"/>
    <w:basedOn w:val="a"/>
    <w:qFormat/>
    <w:pPr>
      <w:tabs>
        <w:tab w:val="center" w:pos="4153"/>
        <w:tab w:val="right" w:pos="8306"/>
      </w:tabs>
      <w:snapToGrid w:val="0"/>
    </w:pPr>
    <w:rPr>
      <w:sz w:val="18"/>
    </w:rPr>
  </w:style>
  <w:style w:type="paragraph" w:styleId="a6">
    <w:name w:val="List"/>
    <w:basedOn w:val="a0"/>
    <w:qFormat/>
    <w:rPr>
      <w:rFonts w:cs="Lohit Devanagari"/>
    </w:rPr>
  </w:style>
  <w:style w:type="character" w:styleId="a7">
    <w:name w:val="Strong"/>
    <w:qFormat/>
    <w:rPr>
      <w:b/>
      <w:bCs/>
    </w:rPr>
  </w:style>
  <w:style w:type="character" w:styleId="a8">
    <w:name w:val="Hyperlink"/>
    <w:rPr>
      <w:color w:val="0000FF"/>
      <w:u w:val="single"/>
    </w:rPr>
  </w:style>
  <w:style w:type="character" w:customStyle="1" w:styleId="WW8Num1z0">
    <w:name w:val="WW8Num1z0"/>
    <w:qFormat/>
  </w:style>
  <w:style w:type="character" w:customStyle="1" w:styleId="WW8Num2z0">
    <w:name w:val="WW8Num2z0"/>
    <w:qFormat/>
  </w:style>
  <w:style w:type="character" w:customStyle="1" w:styleId="1">
    <w:name w:val="默认段落字体1"/>
    <w:qFormat/>
  </w:style>
  <w:style w:type="character" w:customStyle="1" w:styleId="30">
    <w:name w:val="标题 3 字符"/>
    <w:qFormat/>
    <w:rPr>
      <w:rFonts w:ascii="宋体" w:hAnsi="宋体" w:cs="宋体"/>
      <w:b/>
      <w:bCs/>
      <w:sz w:val="27"/>
      <w:szCs w:val="27"/>
    </w:rPr>
  </w:style>
  <w:style w:type="character" w:customStyle="1" w:styleId="40">
    <w:name w:val="标题 4 字符"/>
    <w:qFormat/>
    <w:rPr>
      <w:rFonts w:ascii="等线 Light" w:eastAsia="等线 Light" w:hAnsi="等线 Light" w:cs="Times New Roman"/>
      <w:b/>
      <w:bCs/>
      <w:sz w:val="28"/>
      <w:szCs w:val="28"/>
    </w:rPr>
  </w:style>
  <w:style w:type="paragraph" w:customStyle="1" w:styleId="Heading">
    <w:name w:val="Heading"/>
    <w:basedOn w:val="a"/>
    <w:next w:val="a0"/>
    <w:qFormat/>
    <w:pPr>
      <w:keepNext/>
      <w:spacing w:before="240" w:after="120"/>
    </w:pPr>
    <w:rPr>
      <w:rFonts w:ascii="Liberation Sans" w:eastAsia="Noto Sans CJK SC" w:hAnsi="Liberation Sans" w:cs="Lohit Devanagari"/>
      <w:sz w:val="28"/>
      <w:szCs w:val="28"/>
    </w:rPr>
  </w:style>
  <w:style w:type="paragraph" w:customStyle="1" w:styleId="Index">
    <w:name w:val="Index"/>
    <w:basedOn w:val="a"/>
    <w:qFormat/>
    <w:pPr>
      <w:suppressLineNumbers/>
    </w:pPr>
    <w:rPr>
      <w:rFonts w:cs="Lohit Devanagari"/>
    </w:rPr>
  </w:style>
  <w:style w:type="paragraph" w:customStyle="1" w:styleId="HeaderandFooter">
    <w:name w:val="Header and Footer"/>
    <w:basedOn w:val="a"/>
    <w:qFormat/>
    <w:pPr>
      <w:suppressLineNumbers/>
      <w:tabs>
        <w:tab w:val="center" w:pos="4819"/>
        <w:tab w:val="right" w:pos="9638"/>
      </w:tabs>
    </w:pPr>
  </w:style>
  <w:style w:type="paragraph" w:customStyle="1" w:styleId="10">
    <w:name w:val="普通(网站)1"/>
    <w:basedOn w:val="a"/>
    <w:qFormat/>
    <w:pPr>
      <w:spacing w:before="100" w:after="100"/>
    </w:pPr>
  </w:style>
  <w:style w:type="paragraph" w:customStyle="1" w:styleId="a9">
    <w:name w:val="附内"/>
    <w:basedOn w:val="a"/>
    <w:qFormat/>
    <w:pPr>
      <w:spacing w:line="400" w:lineRule="exact"/>
    </w:pPr>
    <w:rPr>
      <w:rFonts w:ascii="Times New Roman" w:hAnsi="Times New Roman" w:cs="Times New Roman"/>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paragraph" w:styleId="aa">
    <w:name w:val="header"/>
    <w:basedOn w:val="a"/>
    <w:link w:val="ab"/>
    <w:rsid w:val="006840F0"/>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rsid w:val="006840F0"/>
    <w:rPr>
      <w:rFonts w:ascii="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2026年度广西自然科学奖公示材料</dc:title>
  <dc:subject>若干微分方程的自适应网格算法及应用研究</dc:subject>
  <dc:creator>博杰 黄</dc:creator>
  <cp:lastModifiedBy>Zhongdi</cp:lastModifiedBy>
  <cp:revision>3</cp:revision>
  <dcterms:created xsi:type="dcterms:W3CDTF">2026-09-21T02:58:00Z</dcterms:created>
  <dcterms:modified xsi:type="dcterms:W3CDTF">2026-09-21T03:00:00Z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95A6DED41D3846F5A9FDD2E54353AF59_13</vt:lpwstr>
  </property>
  <property fmtid="{D5CDD505-2E9C-101B-9397-08002B2CF9AE}" pid="3" name="KSOProductBuildVer">
    <vt:lpwstr>2052-12.1.0.28505</vt:lpwstr>
  </property>
  <property fmtid="{D5CDD505-2E9C-101B-9397-08002B2CF9AE}" pid="4" name="KSOTemplateDocerSaveRecord">
    <vt:lpwstr>eyJoZGlkIjoiZDExODc4NmIyZGQ1YWU4YTJmNDM4YjVlZDNkNjkxNTAiLCJ1c2VySWQiOiI3MzMxMTMzNTkifQ==</vt:lpwstr>
  </property>
</Properties>
</file>